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BF" w:rsidRPr="0059149A" w:rsidRDefault="00B147BF" w:rsidP="00647AF0">
      <w:pPr>
        <w:pStyle w:val="IntenseQuote"/>
        <w:pBdr>
          <w:bottom w:val="none" w:sz="0" w:space="0" w:color="auto"/>
        </w:pBdr>
        <w:spacing w:before="0" w:after="0"/>
        <w:ind w:left="0"/>
        <w:rPr>
          <w:rFonts w:ascii="Sylfaen" w:hAnsi="Sylfaen"/>
          <w:i w:val="0"/>
          <w:color w:val="000000"/>
          <w:u w:val="single"/>
        </w:rPr>
      </w:pPr>
    </w:p>
    <w:p w:rsidR="00D95F80" w:rsidRDefault="00D95F80" w:rsidP="00647AF0">
      <w:pPr>
        <w:pStyle w:val="IntenseQuote"/>
        <w:pBdr>
          <w:bottom w:val="none" w:sz="0" w:space="0" w:color="auto"/>
        </w:pBdr>
        <w:spacing w:before="0" w:after="0"/>
        <w:jc w:val="center"/>
        <w:rPr>
          <w:rFonts w:ascii="Sylfaen" w:hAnsi="Sylfaen"/>
          <w:i w:val="0"/>
          <w:color w:val="auto"/>
        </w:rPr>
      </w:pPr>
    </w:p>
    <w:p w:rsidR="006F0D0E" w:rsidRPr="0059149A" w:rsidRDefault="00F51895" w:rsidP="00647AF0">
      <w:pPr>
        <w:pStyle w:val="IntenseQuote"/>
        <w:pBdr>
          <w:bottom w:val="none" w:sz="0" w:space="0" w:color="auto"/>
        </w:pBdr>
        <w:spacing w:before="0" w:after="0"/>
        <w:jc w:val="center"/>
        <w:rPr>
          <w:rFonts w:ascii="Sylfaen" w:hAnsi="Sylfaen"/>
          <w:i w:val="0"/>
          <w:color w:val="auto"/>
        </w:rPr>
      </w:pPr>
      <w:r w:rsidRPr="0059149A">
        <w:rPr>
          <w:rFonts w:ascii="Sylfaen" w:hAnsi="Sylfaen"/>
          <w:i w:val="0"/>
          <w:color w:val="auto"/>
        </w:rPr>
        <w:t xml:space="preserve">US – Georgian Collaboration in Public Health </w:t>
      </w:r>
    </w:p>
    <w:p w:rsidR="00F51895" w:rsidRDefault="00862997" w:rsidP="00862997">
      <w:pPr>
        <w:jc w:val="center"/>
        <w:rPr>
          <w:rFonts w:ascii="Sylfaen" w:hAnsi="Sylfaen"/>
        </w:rPr>
      </w:pPr>
      <w:r>
        <w:rPr>
          <w:rFonts w:ascii="Sylfaen" w:hAnsi="Sylfaen"/>
        </w:rPr>
        <w:t>January 2020</w:t>
      </w:r>
      <w:bookmarkStart w:id="0" w:name="_GoBack"/>
      <w:bookmarkEnd w:id="0"/>
    </w:p>
    <w:p w:rsidR="00862997" w:rsidRPr="0059149A" w:rsidRDefault="00862997" w:rsidP="00647AF0">
      <w:pPr>
        <w:rPr>
          <w:rFonts w:ascii="Sylfaen" w:hAnsi="Sylfaen"/>
        </w:rPr>
      </w:pPr>
    </w:p>
    <w:p w:rsidR="00D95F80" w:rsidRDefault="009F612F" w:rsidP="00D95F80">
      <w:pPr>
        <w:pStyle w:val="ListParagraph"/>
        <w:numPr>
          <w:ilvl w:val="0"/>
          <w:numId w:val="5"/>
        </w:numPr>
        <w:jc w:val="both"/>
        <w:rPr>
          <w:rFonts w:ascii="Sylfaen" w:hAnsi="Sylfaen"/>
        </w:rPr>
      </w:pPr>
      <w:r w:rsidRPr="00D95F80">
        <w:rPr>
          <w:rFonts w:ascii="Sylfaen" w:hAnsi="Sylfaen"/>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2D507C" w:rsidRPr="00D95F80" w:rsidRDefault="002D507C" w:rsidP="002D507C">
      <w:pPr>
        <w:pStyle w:val="ListParagraph"/>
        <w:ind w:left="540"/>
        <w:jc w:val="both"/>
        <w:rPr>
          <w:rFonts w:ascii="Sylfaen" w:hAnsi="Sylfaen"/>
        </w:rPr>
      </w:pPr>
    </w:p>
    <w:p w:rsidR="000A22E9" w:rsidRDefault="000A22E9" w:rsidP="00D95F80">
      <w:pPr>
        <w:pStyle w:val="ListParagraph"/>
        <w:numPr>
          <w:ilvl w:val="0"/>
          <w:numId w:val="5"/>
        </w:numPr>
        <w:jc w:val="both"/>
        <w:rPr>
          <w:rFonts w:ascii="Sylfaen" w:hAnsi="Sylfaen"/>
        </w:rPr>
      </w:pPr>
      <w:r w:rsidRPr="00D95F80">
        <w:rPr>
          <w:rFonts w:ascii="Sylfaen" w:hAnsi="Sylfaen"/>
        </w:rPr>
        <w:t xml:space="preserve">Georgia has well established and </w:t>
      </w:r>
      <w:r w:rsidR="00603513" w:rsidRPr="00D95F80">
        <w:rPr>
          <w:rFonts w:ascii="Sylfaen" w:hAnsi="Sylfaen"/>
        </w:rPr>
        <w:t>fruitful</w:t>
      </w:r>
      <w:r w:rsidRPr="00D95F80">
        <w:rPr>
          <w:rFonts w:ascii="Sylfaen" w:hAnsi="Sylfaen"/>
        </w:rPr>
        <w:t xml:space="preserve"> cooperation</w:t>
      </w:r>
      <w:r w:rsidR="003B6409" w:rsidRPr="00D95F80">
        <w:rPr>
          <w:rFonts w:ascii="Sylfaen" w:hAnsi="Sylfaen"/>
        </w:rPr>
        <w:t xml:space="preserve"> in public health</w:t>
      </w:r>
      <w:r w:rsidRPr="00D95F80">
        <w:rPr>
          <w:rFonts w:ascii="Sylfaen" w:hAnsi="Sylfaen"/>
        </w:rPr>
        <w:t xml:space="preserve"> with US institutions, like: USAID, NIH, NIIAD, NCI, CRDF, BTEP, CDC, DTRA, WRAIR as well as the leading American Universities (University of Florida, University of Maryland, Emory University, Johns Hopkins University, North Arizona University, Los Alamos national laboratory university of California). </w:t>
      </w:r>
    </w:p>
    <w:p w:rsidR="002D507C" w:rsidRPr="002D507C" w:rsidRDefault="002D507C" w:rsidP="002D507C">
      <w:pPr>
        <w:jc w:val="both"/>
        <w:rPr>
          <w:rFonts w:ascii="Sylfaen" w:hAnsi="Sylfaen"/>
        </w:rPr>
      </w:pPr>
    </w:p>
    <w:p w:rsidR="00D95F80" w:rsidRDefault="003B6409" w:rsidP="00D95F80">
      <w:pPr>
        <w:numPr>
          <w:ilvl w:val="0"/>
          <w:numId w:val="5"/>
        </w:numPr>
        <w:jc w:val="both"/>
        <w:rPr>
          <w:rFonts w:ascii="Sylfaen" w:hAnsi="Sylfaen"/>
        </w:rPr>
      </w:pPr>
      <w:r>
        <w:rPr>
          <w:rFonts w:ascii="Sylfaen" w:hAnsi="Sylfaen"/>
        </w:rPr>
        <w:t xml:space="preserve">Most prominent achievements of this collaboration include establishment of the Unified Laboratory system based on the “One Health” Concept which is currently being led by the </w:t>
      </w:r>
      <w:r w:rsidRPr="0059149A">
        <w:rPr>
          <w:rFonts w:ascii="Sylfaen" w:hAnsi="Sylfaen"/>
        </w:rPr>
        <w:t>Richard Lugar Center for Public Health Research (part of country’s epidemiological security), biosafety level 3 research facility, constructed through the US investment and handed over to the Ministry of Health (NCDC) for operation and ownership in 2013.</w:t>
      </w:r>
      <w:r>
        <w:rPr>
          <w:rFonts w:ascii="Sylfaen" w:hAnsi="Sylfaen"/>
        </w:rPr>
        <w:t xml:space="preserve"> Furthermore, t</w:t>
      </w:r>
      <w:r w:rsidRPr="0059149A">
        <w:rPr>
          <w:rFonts w:ascii="Sylfaen" w:hAnsi="Sylfaen"/>
        </w:rPr>
        <w:t xml:space="preserve">he US institutions have played a great role in institutionalization of outbreak response, </w:t>
      </w:r>
      <w:r>
        <w:rPr>
          <w:rFonts w:ascii="Sylfaen" w:hAnsi="Sylfaen"/>
        </w:rPr>
        <w:t xml:space="preserve">and strengthening infectious disease surveillance programs including hepatitis C, Tuberculosis, and HIV </w:t>
      </w:r>
      <w:r w:rsidR="008F3161">
        <w:rPr>
          <w:rFonts w:ascii="Sylfaen" w:hAnsi="Sylfaen"/>
        </w:rPr>
        <w:t>control.</w:t>
      </w:r>
      <w:r>
        <w:rPr>
          <w:rFonts w:ascii="Sylfaen" w:hAnsi="Sylfaen"/>
        </w:rPr>
        <w:t xml:space="preserve">  </w:t>
      </w:r>
    </w:p>
    <w:p w:rsidR="002D507C" w:rsidRDefault="002D507C" w:rsidP="002D507C">
      <w:pPr>
        <w:jc w:val="both"/>
        <w:rPr>
          <w:rFonts w:ascii="Sylfaen" w:hAnsi="Sylfaen"/>
        </w:rPr>
      </w:pPr>
    </w:p>
    <w:p w:rsidR="00D95F80" w:rsidRDefault="00CB47B0" w:rsidP="00D95F80">
      <w:pPr>
        <w:numPr>
          <w:ilvl w:val="0"/>
          <w:numId w:val="5"/>
        </w:numPr>
        <w:jc w:val="both"/>
        <w:rPr>
          <w:rFonts w:ascii="Sylfaen" w:hAnsi="Sylfaen"/>
        </w:rPr>
      </w:pPr>
      <w:r w:rsidRPr="00D95F80">
        <w:rPr>
          <w:rFonts w:ascii="Sylfaen" w:hAnsi="Sylfaen"/>
        </w:rPr>
        <w:t xml:space="preserve">Support provided by US Centers for </w:t>
      </w:r>
      <w:r w:rsidR="008F3161" w:rsidRPr="00D95F80">
        <w:rPr>
          <w:rFonts w:ascii="Sylfaen" w:hAnsi="Sylfaen"/>
        </w:rPr>
        <w:t>Disease</w:t>
      </w:r>
      <w:r w:rsidRPr="00D95F80">
        <w:rPr>
          <w:rFonts w:ascii="Sylfaen" w:hAnsi="Sylfaen"/>
        </w:rPr>
        <w:t xml:space="preserve"> Contro</w:t>
      </w:r>
      <w:r w:rsidR="008F3161" w:rsidRPr="00D95F80">
        <w:rPr>
          <w:rFonts w:ascii="Sylfaen" w:hAnsi="Sylfaen"/>
        </w:rPr>
        <w:t>l and Public Health and</w:t>
      </w:r>
      <w:r w:rsidRPr="00D95F80">
        <w:rPr>
          <w:rFonts w:ascii="Sylfaen" w:hAnsi="Sylfaen"/>
        </w:rPr>
        <w:t xml:space="preserve"> Gilead Sciences enabled the Government of Georgia to implement Hepatitis C elimination program. Since its initiation in 2015, the program saved lives of almost 60000 individuals which otherwise had no chance to access the expensive</w:t>
      </w:r>
      <w:r w:rsidR="008F3161" w:rsidRPr="00D95F80">
        <w:rPr>
          <w:rFonts w:ascii="Sylfaen" w:hAnsi="Sylfaen"/>
        </w:rPr>
        <w:t xml:space="preserve"> lifesaving</w:t>
      </w:r>
      <w:r w:rsidRPr="00D95F80">
        <w:rPr>
          <w:rFonts w:ascii="Sylfaen" w:hAnsi="Sylfaen"/>
        </w:rPr>
        <w:t xml:space="preserve"> treatment. Due to the successful progress of the Program, Georgia has become a model country worldwide in elimination Hepatitis C Virus and has been recognized as a Center of Excellence in viral hepatitis elimination at the International Liver Congress, 2019</w:t>
      </w:r>
      <w:r w:rsidR="008F3161" w:rsidRPr="00D95F80">
        <w:rPr>
          <w:rFonts w:ascii="Sylfaen" w:hAnsi="Sylfaen"/>
        </w:rPr>
        <w:t>.</w:t>
      </w:r>
    </w:p>
    <w:p w:rsidR="002D507C" w:rsidRDefault="002D507C" w:rsidP="002D507C">
      <w:pPr>
        <w:jc w:val="both"/>
        <w:rPr>
          <w:rFonts w:ascii="Sylfaen" w:hAnsi="Sylfaen"/>
        </w:rPr>
      </w:pPr>
    </w:p>
    <w:p w:rsidR="00D95F80" w:rsidRDefault="00CB47B0" w:rsidP="00D95F80">
      <w:pPr>
        <w:numPr>
          <w:ilvl w:val="0"/>
          <w:numId w:val="5"/>
        </w:numPr>
        <w:jc w:val="both"/>
        <w:rPr>
          <w:rFonts w:ascii="Sylfaen" w:hAnsi="Sylfaen"/>
        </w:rPr>
      </w:pPr>
      <w:r w:rsidRPr="00D95F80">
        <w:rPr>
          <w:rFonts w:ascii="Sylfaen" w:hAnsi="Sylfaen"/>
        </w:rPr>
        <w:t xml:space="preserve">Georgian health leadership has </w:t>
      </w:r>
      <w:r w:rsidR="008F3161" w:rsidRPr="00D95F80">
        <w:rPr>
          <w:rFonts w:ascii="Sylfaen" w:hAnsi="Sylfaen"/>
        </w:rPr>
        <w:t xml:space="preserve">look forward to </w:t>
      </w:r>
      <w:r w:rsidRPr="00D95F80">
        <w:rPr>
          <w:rFonts w:ascii="Sylfaen" w:hAnsi="Sylfaen"/>
        </w:rPr>
        <w:t xml:space="preserve">future collaboration with US institutions in 2020 and onwards towards achieving SGD goals for health. </w:t>
      </w:r>
      <w:r w:rsidR="00386A29" w:rsidRPr="00D95F80">
        <w:rPr>
          <w:rFonts w:ascii="Sylfaen" w:hAnsi="Sylfaen"/>
        </w:rPr>
        <w:t xml:space="preserve">Last year, the Government of Georgia was honored to host the Director of the CDC. Dr. Robert Redfield and discuss </w:t>
      </w:r>
      <w:r w:rsidR="008F3161" w:rsidRPr="00D95F80">
        <w:rPr>
          <w:rFonts w:ascii="Sylfaen" w:hAnsi="Sylfaen"/>
        </w:rPr>
        <w:t xml:space="preserve">technical and scientific partnership </w:t>
      </w:r>
      <w:r w:rsidR="00386A29" w:rsidRPr="00D95F80">
        <w:rPr>
          <w:rFonts w:ascii="Sylfaen" w:hAnsi="Sylfaen"/>
        </w:rPr>
        <w:t xml:space="preserve">for strengthening </w:t>
      </w:r>
      <w:r w:rsidR="008F3161" w:rsidRPr="00D95F80">
        <w:rPr>
          <w:rFonts w:ascii="Sylfaen" w:hAnsi="Sylfaen"/>
        </w:rPr>
        <w:t>epidemic</w:t>
      </w:r>
      <w:r w:rsidR="00386A29" w:rsidRPr="00D95F80">
        <w:rPr>
          <w:rFonts w:ascii="Sylfaen" w:hAnsi="Sylfaen"/>
        </w:rPr>
        <w:t xml:space="preserve"> response. Later in 2019, the ministry of health and NCDC were informed about the decision of establishing the CDC’s regional office in Tbilisi to cover Eastern Europe and Central Asian countries: Georgia, Armenia, Azerbaijan, Kazakhstan, Kyrgyzstan, Tajikistan, Turkmenistan, Uzbekistan, Moldova, Ukraine, and Belarus.  </w:t>
      </w:r>
    </w:p>
    <w:p w:rsidR="00D95F80" w:rsidRDefault="00386A29" w:rsidP="00D95F80">
      <w:pPr>
        <w:ind w:left="540"/>
        <w:jc w:val="both"/>
        <w:rPr>
          <w:rFonts w:ascii="Sylfaen" w:hAnsi="Sylfaen"/>
        </w:rPr>
      </w:pPr>
      <w:r w:rsidRPr="00D95F80">
        <w:rPr>
          <w:rFonts w:ascii="Sylfaen" w:hAnsi="Sylfaen"/>
        </w:rPr>
        <w:lastRenderedPageBreak/>
        <w:t xml:space="preserve">Georgian Government looks forward to establishing the regional hub and is fully committed to support it operations and share all successes and lessons learned to other countries as needed. </w:t>
      </w:r>
    </w:p>
    <w:p w:rsidR="002D507C" w:rsidRDefault="002D507C" w:rsidP="00D95F80">
      <w:pPr>
        <w:ind w:left="540"/>
        <w:jc w:val="both"/>
        <w:rPr>
          <w:rFonts w:ascii="Sylfaen" w:hAnsi="Sylfaen"/>
        </w:rPr>
      </w:pPr>
    </w:p>
    <w:p w:rsidR="00147215" w:rsidRPr="00D95F80" w:rsidRDefault="008F3161" w:rsidP="00D95F80">
      <w:pPr>
        <w:ind w:left="540"/>
        <w:jc w:val="both"/>
        <w:rPr>
          <w:rFonts w:ascii="Sylfaen" w:hAnsi="Sylfaen"/>
        </w:rPr>
      </w:pPr>
      <w:r w:rsidRPr="00D95F80">
        <w:rPr>
          <w:rFonts w:ascii="Sylfaen" w:hAnsi="Sylfaen"/>
        </w:rPr>
        <w:t>We anticipate continuing</w:t>
      </w:r>
      <w:r w:rsidR="00386A29" w:rsidRPr="00D95F80">
        <w:rPr>
          <w:rFonts w:ascii="Sylfaen" w:hAnsi="Sylfaen"/>
        </w:rPr>
        <w:t xml:space="preserve"> active cooperation with CDC and Gilead </w:t>
      </w:r>
      <w:r w:rsidRPr="00D95F80">
        <w:rPr>
          <w:rFonts w:ascii="Sylfaen" w:hAnsi="Sylfaen"/>
        </w:rPr>
        <w:t xml:space="preserve">within </w:t>
      </w:r>
      <w:proofErr w:type="spellStart"/>
      <w:r w:rsidRPr="00D95F80">
        <w:rPr>
          <w:rFonts w:ascii="Sylfaen" w:hAnsi="Sylfaen"/>
        </w:rPr>
        <w:t>Hep</w:t>
      </w:r>
      <w:proofErr w:type="spellEnd"/>
      <w:r w:rsidRPr="00D95F80">
        <w:rPr>
          <w:rFonts w:ascii="Sylfaen" w:hAnsi="Sylfaen"/>
        </w:rPr>
        <w:t xml:space="preserve"> C program</w:t>
      </w:r>
      <w:r w:rsidR="00386A29" w:rsidRPr="00D95F80">
        <w:rPr>
          <w:rFonts w:ascii="Sylfaen" w:hAnsi="Sylfaen"/>
        </w:rPr>
        <w:t>. Other priorities</w:t>
      </w:r>
      <w:r w:rsidRPr="00D95F80">
        <w:rPr>
          <w:rFonts w:ascii="Sylfaen" w:hAnsi="Sylfaen"/>
        </w:rPr>
        <w:t xml:space="preserve"> planned in collaboration with DTRA and WRAIR in the coming years</w:t>
      </w:r>
      <w:r w:rsidR="00386A29" w:rsidRPr="00D95F80">
        <w:rPr>
          <w:rFonts w:ascii="Sylfaen" w:hAnsi="Sylfaen"/>
        </w:rPr>
        <w:t xml:space="preserve"> include addressing antimicrobial resistance, strengthening health security agenda</w:t>
      </w:r>
      <w:r w:rsidR="00147215" w:rsidRPr="00D95F80">
        <w:rPr>
          <w:rFonts w:ascii="Sylfaen" w:hAnsi="Sylfaen"/>
        </w:rPr>
        <w:t>, building human resource capacity in field epidemiology</w:t>
      </w:r>
      <w:r w:rsidRPr="00D95F80">
        <w:rPr>
          <w:rFonts w:ascii="Sylfaen" w:hAnsi="Sylfaen"/>
        </w:rPr>
        <w:t xml:space="preserve"> and supporting</w:t>
      </w:r>
      <w:r w:rsidR="00147215" w:rsidRPr="00D95F80">
        <w:rPr>
          <w:rFonts w:ascii="Sylfaen" w:hAnsi="Sylfaen"/>
        </w:rPr>
        <w:t xml:space="preserve"> research programs</w:t>
      </w:r>
      <w:r w:rsidRPr="00D95F80">
        <w:rPr>
          <w:rFonts w:ascii="Sylfaen" w:hAnsi="Sylfaen"/>
        </w:rPr>
        <w:t xml:space="preserve">, introducing </w:t>
      </w:r>
      <w:r w:rsidR="00147215" w:rsidRPr="00D95F80">
        <w:rPr>
          <w:rFonts w:ascii="Sylfaen" w:hAnsi="Sylfaen"/>
          <w:color w:val="222222"/>
          <w:shd w:val="clear" w:color="auto" w:fill="FFFFFF"/>
          <w:lang w:eastAsia="ka-GE"/>
        </w:rPr>
        <w:t xml:space="preserve">regulations and policies in the fields of biosafety and biosecurity </w:t>
      </w:r>
      <w:r w:rsidRPr="00D95F80">
        <w:rPr>
          <w:rFonts w:ascii="Sylfaen" w:hAnsi="Sylfaen"/>
          <w:color w:val="222222"/>
          <w:shd w:val="clear" w:color="auto" w:fill="FFFFFF"/>
          <w:lang w:eastAsia="ka-GE"/>
        </w:rPr>
        <w:t>and establishing</w:t>
      </w:r>
      <w:r w:rsidR="00147215" w:rsidRPr="00D95F80">
        <w:rPr>
          <w:rFonts w:ascii="Sylfaen" w:hAnsi="Sylfaen"/>
          <w:color w:val="222222"/>
          <w:shd w:val="clear" w:color="auto" w:fill="FFFFFF"/>
          <w:lang w:eastAsia="ka-GE"/>
        </w:rPr>
        <w:t xml:space="preserve"> good laboratory practice. </w:t>
      </w:r>
    </w:p>
    <w:p w:rsidR="00147215" w:rsidRPr="0059149A" w:rsidRDefault="00147215" w:rsidP="00147215">
      <w:pPr>
        <w:contextualSpacing/>
        <w:jc w:val="both"/>
        <w:rPr>
          <w:rFonts w:ascii="Sylfaen" w:hAnsi="Sylfaen"/>
          <w:b/>
          <w:color w:val="222222"/>
          <w:shd w:val="clear" w:color="auto" w:fill="FFFFFF"/>
          <w:lang w:eastAsia="ka-GE"/>
        </w:rPr>
      </w:pPr>
      <w:r>
        <w:rPr>
          <w:rFonts w:ascii="Sylfaen" w:hAnsi="Sylfaen"/>
          <w:b/>
          <w:color w:val="222222"/>
          <w:shd w:val="clear" w:color="auto" w:fill="FFFFFF"/>
          <w:lang w:eastAsia="ka-GE"/>
        </w:rPr>
        <w:t xml:space="preserve"> </w:t>
      </w:r>
    </w:p>
    <w:p w:rsidR="00147215" w:rsidRPr="00147215" w:rsidRDefault="00147215" w:rsidP="00147215">
      <w:pPr>
        <w:pStyle w:val="ListParagraph"/>
        <w:jc w:val="both"/>
        <w:rPr>
          <w:rFonts w:ascii="Sylfaen" w:hAnsi="Sylfaen"/>
          <w:b/>
          <w:u w:val="single"/>
        </w:rPr>
      </w:pPr>
      <w:r w:rsidRPr="00147215">
        <w:rPr>
          <w:rFonts w:ascii="Sylfaen" w:hAnsi="Sylfaen"/>
          <w:b/>
          <w:u w:val="single"/>
        </w:rPr>
        <w:t xml:space="preserve"> </w:t>
      </w:r>
    </w:p>
    <w:p w:rsidR="00282B1F" w:rsidRPr="0059149A" w:rsidRDefault="00282B1F" w:rsidP="00647AF0">
      <w:pPr>
        <w:rPr>
          <w:rFonts w:ascii="Sylfaen" w:hAnsi="Sylfaen"/>
          <w:b/>
          <w:color w:val="002060"/>
        </w:rPr>
      </w:pPr>
    </w:p>
    <w:sectPr w:rsidR="00282B1F" w:rsidRPr="0059149A" w:rsidSect="002313FB">
      <w:headerReference w:type="even" r:id="rId8"/>
      <w:headerReference w:type="default" r:id="rId9"/>
      <w:footerReference w:type="even" r:id="rId10"/>
      <w:footerReference w:type="default" r:id="rId11"/>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4D3" w:rsidRDefault="008804D3">
      <w:r>
        <w:separator/>
      </w:r>
    </w:p>
  </w:endnote>
  <w:endnote w:type="continuationSeparator" w:id="0">
    <w:p w:rsidR="008804D3" w:rsidRDefault="0088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Dumb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586FBB" w:rsidP="00570D41">
    <w:pPr>
      <w:pStyle w:val="Footer"/>
      <w:framePr w:wrap="around" w:vAnchor="text" w:hAnchor="margin" w:xAlign="right" w:y="1"/>
      <w:rPr>
        <w:rStyle w:val="PageNumber"/>
      </w:rPr>
    </w:pPr>
    <w:r>
      <w:rPr>
        <w:rStyle w:val="PageNumber"/>
      </w:rPr>
      <w:fldChar w:fldCharType="begin"/>
    </w:r>
    <w:r w:rsidR="00981D19">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586FBB" w:rsidP="00570D41">
    <w:pPr>
      <w:pStyle w:val="Footer"/>
      <w:framePr w:wrap="around" w:vAnchor="text" w:hAnchor="margin" w:xAlign="right" w:y="1"/>
      <w:rPr>
        <w:rStyle w:val="PageNumber"/>
      </w:rPr>
    </w:pPr>
    <w:r>
      <w:rPr>
        <w:rStyle w:val="PageNumber"/>
      </w:rPr>
      <w:fldChar w:fldCharType="begin"/>
    </w:r>
    <w:r w:rsidR="00981D19">
      <w:rPr>
        <w:rStyle w:val="PageNumber"/>
      </w:rPr>
      <w:instrText xml:space="preserve">PAGE  </w:instrText>
    </w:r>
    <w:r>
      <w:rPr>
        <w:rStyle w:val="PageNumber"/>
      </w:rPr>
      <w:fldChar w:fldCharType="separate"/>
    </w:r>
    <w:r w:rsidR="002D507C">
      <w:rPr>
        <w:rStyle w:val="PageNumber"/>
        <w:noProof/>
      </w:rPr>
      <w:t>1</w:t>
    </w:r>
    <w:r>
      <w:rPr>
        <w:rStyle w:val="PageNumber"/>
      </w:rPr>
      <w:fldChar w:fldCharType="end"/>
    </w:r>
  </w:p>
  <w:p w:rsidR="00981D19" w:rsidRDefault="00981D19" w:rsidP="004442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4D3" w:rsidRDefault="008804D3">
      <w:r>
        <w:separator/>
      </w:r>
    </w:p>
  </w:footnote>
  <w:footnote w:type="continuationSeparator" w:id="0">
    <w:p w:rsidR="008804D3" w:rsidRDefault="00880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Header"/>
    </w:pPr>
  </w:p>
  <w:p w:rsidR="00981D19" w:rsidRDefault="00981D19">
    <w:r>
      <w:t xml:space="preserve">Last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Pr="00515957" w:rsidRDefault="00981D19" w:rsidP="00515957">
    <w:pPr>
      <w:pStyle w:val="Header"/>
      <w:jc w:val="right"/>
      <w:rPr>
        <w:rFonts w:ascii="Sylfaen" w:hAnsi="Sylfaen"/>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B7AD0"/>
    <w:multiLevelType w:val="hybridMultilevel"/>
    <w:tmpl w:val="DBF6261A"/>
    <w:lvl w:ilvl="0" w:tplc="0812132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6CA324C"/>
    <w:multiLevelType w:val="hybridMultilevel"/>
    <w:tmpl w:val="B772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256AE"/>
    <w:multiLevelType w:val="hybridMultilevel"/>
    <w:tmpl w:val="972046EE"/>
    <w:lvl w:ilvl="0" w:tplc="8266FD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E1C3A"/>
    <w:multiLevelType w:val="hybridMultilevel"/>
    <w:tmpl w:val="321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4" w15:restartNumberingAfterBreak="0">
    <w:nsid w:val="4648786D"/>
    <w:multiLevelType w:val="hybridMultilevel"/>
    <w:tmpl w:val="5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22339"/>
    <w:multiLevelType w:val="hybridMultilevel"/>
    <w:tmpl w:val="129EAD60"/>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47752"/>
    <w:multiLevelType w:val="hybridMultilevel"/>
    <w:tmpl w:val="C96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20"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E16DF"/>
    <w:multiLevelType w:val="hybridMultilevel"/>
    <w:tmpl w:val="0DACD55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E6774"/>
    <w:multiLevelType w:val="hybridMultilevel"/>
    <w:tmpl w:val="131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468F9"/>
    <w:multiLevelType w:val="hybridMultilevel"/>
    <w:tmpl w:val="8F4E10C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
  </w:num>
  <w:num w:numId="4">
    <w:abstractNumId w:val="13"/>
  </w:num>
  <w:num w:numId="5">
    <w:abstractNumId w:val="22"/>
  </w:num>
  <w:num w:numId="6">
    <w:abstractNumId w:val="27"/>
  </w:num>
  <w:num w:numId="7">
    <w:abstractNumId w:val="1"/>
  </w:num>
  <w:num w:numId="8">
    <w:abstractNumId w:val="21"/>
  </w:num>
  <w:num w:numId="9">
    <w:abstractNumId w:val="24"/>
  </w:num>
  <w:num w:numId="10">
    <w:abstractNumId w:val="5"/>
  </w:num>
  <w:num w:numId="11">
    <w:abstractNumId w:val="18"/>
  </w:num>
  <w:num w:numId="12">
    <w:abstractNumId w:val="20"/>
  </w:num>
  <w:num w:numId="13">
    <w:abstractNumId w:val="6"/>
  </w:num>
  <w:num w:numId="14">
    <w:abstractNumId w:val="16"/>
  </w:num>
  <w:num w:numId="15">
    <w:abstractNumId w:val="7"/>
  </w:num>
  <w:num w:numId="16">
    <w:abstractNumId w:val="23"/>
  </w:num>
  <w:num w:numId="17">
    <w:abstractNumId w:val="3"/>
  </w:num>
  <w:num w:numId="18">
    <w:abstractNumId w:val="8"/>
  </w:num>
  <w:num w:numId="19">
    <w:abstractNumId w:val="4"/>
  </w:num>
  <w:num w:numId="20">
    <w:abstractNumId w:val="25"/>
  </w:num>
  <w:num w:numId="21">
    <w:abstractNumId w:val="26"/>
  </w:num>
  <w:num w:numId="22">
    <w:abstractNumId w:val="15"/>
  </w:num>
  <w:num w:numId="23">
    <w:abstractNumId w:val="10"/>
  </w:num>
  <w:num w:numId="24">
    <w:abstractNumId w:val="11"/>
  </w:num>
  <w:num w:numId="25">
    <w:abstractNumId w:val="12"/>
  </w:num>
  <w:num w:numId="26">
    <w:abstractNumId w:val="14"/>
  </w:num>
  <w:num w:numId="27">
    <w:abstractNumId w:val="9"/>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83DA1"/>
    <w:rsid w:val="000868DD"/>
    <w:rsid w:val="000903BE"/>
    <w:rsid w:val="00090724"/>
    <w:rsid w:val="00090F8E"/>
    <w:rsid w:val="00091336"/>
    <w:rsid w:val="000949B4"/>
    <w:rsid w:val="00095D10"/>
    <w:rsid w:val="000A22E9"/>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2DC"/>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47215"/>
    <w:rsid w:val="00151294"/>
    <w:rsid w:val="001573B4"/>
    <w:rsid w:val="00162483"/>
    <w:rsid w:val="00172C4E"/>
    <w:rsid w:val="00174F17"/>
    <w:rsid w:val="001833FA"/>
    <w:rsid w:val="00183CC3"/>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A73"/>
    <w:rsid w:val="00222C2C"/>
    <w:rsid w:val="002239E5"/>
    <w:rsid w:val="0023093B"/>
    <w:rsid w:val="00230C50"/>
    <w:rsid w:val="002313FB"/>
    <w:rsid w:val="002355D7"/>
    <w:rsid w:val="0023690C"/>
    <w:rsid w:val="00241BC9"/>
    <w:rsid w:val="00251DA2"/>
    <w:rsid w:val="00256F72"/>
    <w:rsid w:val="00261C03"/>
    <w:rsid w:val="00261F0C"/>
    <w:rsid w:val="0026746E"/>
    <w:rsid w:val="00274989"/>
    <w:rsid w:val="002765A6"/>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B5B90"/>
    <w:rsid w:val="002C23F9"/>
    <w:rsid w:val="002C57E8"/>
    <w:rsid w:val="002D4524"/>
    <w:rsid w:val="002D4B87"/>
    <w:rsid w:val="002D507C"/>
    <w:rsid w:val="002D5D4A"/>
    <w:rsid w:val="002E0391"/>
    <w:rsid w:val="002E4F82"/>
    <w:rsid w:val="002E5AE7"/>
    <w:rsid w:val="002E750F"/>
    <w:rsid w:val="002F0B20"/>
    <w:rsid w:val="002F0BB4"/>
    <w:rsid w:val="002F336F"/>
    <w:rsid w:val="002F6A61"/>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6A29"/>
    <w:rsid w:val="00387006"/>
    <w:rsid w:val="003A7364"/>
    <w:rsid w:val="003B0EA9"/>
    <w:rsid w:val="003B2922"/>
    <w:rsid w:val="003B29EF"/>
    <w:rsid w:val="003B617F"/>
    <w:rsid w:val="003B6409"/>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48C9"/>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3821"/>
    <w:rsid w:val="00546AA1"/>
    <w:rsid w:val="00546E1E"/>
    <w:rsid w:val="00553AA2"/>
    <w:rsid w:val="005656F2"/>
    <w:rsid w:val="005657F2"/>
    <w:rsid w:val="005700C2"/>
    <w:rsid w:val="005704B6"/>
    <w:rsid w:val="00570D41"/>
    <w:rsid w:val="005730A6"/>
    <w:rsid w:val="00586FBB"/>
    <w:rsid w:val="0059149A"/>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513"/>
    <w:rsid w:val="00603CC2"/>
    <w:rsid w:val="006057D1"/>
    <w:rsid w:val="0061107C"/>
    <w:rsid w:val="006226C6"/>
    <w:rsid w:val="00624725"/>
    <w:rsid w:val="006375C5"/>
    <w:rsid w:val="00641C1D"/>
    <w:rsid w:val="00641CC2"/>
    <w:rsid w:val="00643060"/>
    <w:rsid w:val="006433B7"/>
    <w:rsid w:val="00643406"/>
    <w:rsid w:val="00646FCD"/>
    <w:rsid w:val="00647AF0"/>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1BF8"/>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76F6A"/>
    <w:rsid w:val="00783190"/>
    <w:rsid w:val="007846B0"/>
    <w:rsid w:val="007875F7"/>
    <w:rsid w:val="00787A7B"/>
    <w:rsid w:val="0079376A"/>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31A7"/>
    <w:rsid w:val="00835D34"/>
    <w:rsid w:val="00840339"/>
    <w:rsid w:val="00841B19"/>
    <w:rsid w:val="00844D87"/>
    <w:rsid w:val="00845FE8"/>
    <w:rsid w:val="008504EB"/>
    <w:rsid w:val="0085202D"/>
    <w:rsid w:val="0085279B"/>
    <w:rsid w:val="008532B8"/>
    <w:rsid w:val="00853AF4"/>
    <w:rsid w:val="00854BFB"/>
    <w:rsid w:val="00857285"/>
    <w:rsid w:val="00862997"/>
    <w:rsid w:val="00863550"/>
    <w:rsid w:val="00863833"/>
    <w:rsid w:val="00864483"/>
    <w:rsid w:val="00866B3D"/>
    <w:rsid w:val="008723A7"/>
    <w:rsid w:val="00877815"/>
    <w:rsid w:val="008804D3"/>
    <w:rsid w:val="00882B03"/>
    <w:rsid w:val="00890527"/>
    <w:rsid w:val="00891625"/>
    <w:rsid w:val="00891AD8"/>
    <w:rsid w:val="00892B5D"/>
    <w:rsid w:val="00894830"/>
    <w:rsid w:val="00894FAF"/>
    <w:rsid w:val="00896C97"/>
    <w:rsid w:val="008A227B"/>
    <w:rsid w:val="008B1413"/>
    <w:rsid w:val="008B2A54"/>
    <w:rsid w:val="008B6906"/>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3161"/>
    <w:rsid w:val="008F4ECC"/>
    <w:rsid w:val="0091100E"/>
    <w:rsid w:val="00914536"/>
    <w:rsid w:val="009169D7"/>
    <w:rsid w:val="009230E8"/>
    <w:rsid w:val="009269A4"/>
    <w:rsid w:val="0093236D"/>
    <w:rsid w:val="009331D1"/>
    <w:rsid w:val="009416D7"/>
    <w:rsid w:val="00957DBB"/>
    <w:rsid w:val="0096336C"/>
    <w:rsid w:val="00963B07"/>
    <w:rsid w:val="00970019"/>
    <w:rsid w:val="00970260"/>
    <w:rsid w:val="009718A1"/>
    <w:rsid w:val="00977A7D"/>
    <w:rsid w:val="00980A68"/>
    <w:rsid w:val="00981D19"/>
    <w:rsid w:val="00982982"/>
    <w:rsid w:val="00983161"/>
    <w:rsid w:val="00983C61"/>
    <w:rsid w:val="00986F00"/>
    <w:rsid w:val="009918C0"/>
    <w:rsid w:val="009956E3"/>
    <w:rsid w:val="009961E5"/>
    <w:rsid w:val="00997915"/>
    <w:rsid w:val="009A3CF0"/>
    <w:rsid w:val="009A4044"/>
    <w:rsid w:val="009A7AC5"/>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11E7"/>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4F63"/>
    <w:rsid w:val="00AD7B11"/>
    <w:rsid w:val="00AE00FB"/>
    <w:rsid w:val="00AE3D27"/>
    <w:rsid w:val="00AF0184"/>
    <w:rsid w:val="00AF24C0"/>
    <w:rsid w:val="00AF49AA"/>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111D"/>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24DD"/>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47B0"/>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95F80"/>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67CDC"/>
    <w:rsid w:val="00E70962"/>
    <w:rsid w:val="00E775CA"/>
    <w:rsid w:val="00E86669"/>
    <w:rsid w:val="00E9478F"/>
    <w:rsid w:val="00E95C6D"/>
    <w:rsid w:val="00EA137F"/>
    <w:rsid w:val="00EA4C2B"/>
    <w:rsid w:val="00EB7F98"/>
    <w:rsid w:val="00EC0AA6"/>
    <w:rsid w:val="00EC12B5"/>
    <w:rsid w:val="00EC1377"/>
    <w:rsid w:val="00EC2E87"/>
    <w:rsid w:val="00EC3938"/>
    <w:rsid w:val="00EC3F99"/>
    <w:rsid w:val="00EC6829"/>
    <w:rsid w:val="00ED072B"/>
    <w:rsid w:val="00ED0B9B"/>
    <w:rsid w:val="00ED1234"/>
    <w:rsid w:val="00ED2146"/>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33702"/>
    <w:rsid w:val="00F33BA7"/>
    <w:rsid w:val="00F35D3E"/>
    <w:rsid w:val="00F36AF7"/>
    <w:rsid w:val="00F372AC"/>
    <w:rsid w:val="00F41F19"/>
    <w:rsid w:val="00F47498"/>
    <w:rsid w:val="00F51895"/>
    <w:rsid w:val="00F533FC"/>
    <w:rsid w:val="00F55A09"/>
    <w:rsid w:val="00F6195C"/>
    <w:rsid w:val="00F631EF"/>
    <w:rsid w:val="00F66D6D"/>
    <w:rsid w:val="00F70D54"/>
    <w:rsid w:val="00F8114B"/>
    <w:rsid w:val="00F81B96"/>
    <w:rsid w:val="00F81C2B"/>
    <w:rsid w:val="00F82A2F"/>
    <w:rsid w:val="00F82CDC"/>
    <w:rsid w:val="00F83EC4"/>
    <w:rsid w:val="00F86B4C"/>
    <w:rsid w:val="00F90D23"/>
    <w:rsid w:val="00FA0A6A"/>
    <w:rsid w:val="00FA2756"/>
    <w:rsid w:val="00FA79C4"/>
    <w:rsid w:val="00FB566A"/>
    <w:rsid w:val="00FB617B"/>
    <w:rsid w:val="00FC1DF2"/>
    <w:rsid w:val="00FC32E0"/>
    <w:rsid w:val="00FC77D0"/>
    <w:rsid w:val="00FC7FDC"/>
    <w:rsid w:val="00FD2443"/>
    <w:rsid w:val="00FD3E08"/>
    <w:rsid w:val="00FD5C61"/>
    <w:rsid w:val="00FE0223"/>
    <w:rsid w:val="00FE267A"/>
    <w:rsid w:val="00FF31BB"/>
    <w:rsid w:val="00FF3A5F"/>
    <w:rsid w:val="00FF4DD7"/>
    <w:rsid w:val="00FF7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5F1A"/>
  <w15:docId w15:val="{68A6F81D-66DE-4DB8-A72F-1CC181E3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8A1A-308E-41A6-9F25-0025A24A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Maia Nikoleishvili</cp:lastModifiedBy>
  <cp:revision>4</cp:revision>
  <cp:lastPrinted>2020-01-14T12:13:00Z</cp:lastPrinted>
  <dcterms:created xsi:type="dcterms:W3CDTF">2020-01-20T05:41:00Z</dcterms:created>
  <dcterms:modified xsi:type="dcterms:W3CDTF">2020-01-20T08:40:00Z</dcterms:modified>
</cp:coreProperties>
</file>